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51383C" w:rsidRDefault="0051383C" w:rsidP="00440791">
                            <w:pPr>
                              <w:rPr>
                                <w:rFonts w:ascii="Arial" w:hAnsi="Arial" w:cs="Arial"/>
                                <w:b/>
                                <w:color w:val="F79D53"/>
                                <w:sz w:val="60"/>
                                <w:szCs w:val="60"/>
                              </w:rPr>
                            </w:pPr>
                            <w:r w:rsidRPr="0051383C">
                              <w:rPr>
                                <w:rFonts w:ascii="Arial" w:hAnsi="Arial" w:cs="Arial"/>
                                <w:b/>
                                <w:color w:val="F79D53"/>
                                <w:sz w:val="60"/>
                                <w:szCs w:val="60"/>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51383C" w:rsidRDefault="0051383C" w:rsidP="00440791">
                      <w:pPr>
                        <w:rPr>
                          <w:rFonts w:ascii="Arial" w:hAnsi="Arial" w:cs="Arial"/>
                          <w:b/>
                          <w:color w:val="F79D53"/>
                          <w:sz w:val="60"/>
                          <w:szCs w:val="60"/>
                        </w:rPr>
                      </w:pPr>
                      <w:r w:rsidRPr="0051383C">
                        <w:rPr>
                          <w:rFonts w:ascii="Arial" w:hAnsi="Arial" w:cs="Arial"/>
                          <w:b/>
                          <w:color w:val="F79D53"/>
                          <w:sz w:val="60"/>
                          <w:szCs w:val="60"/>
                        </w:rPr>
                        <w:t>K</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DC035A" w:rsidRPr="001E432C" w:rsidRDefault="00DC035A" w:rsidP="00DC035A">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DC035A" w:rsidRPr="008D2EDD" w:rsidRDefault="00DC035A" w:rsidP="00DC035A">
      <w:pPr>
        <w:pStyle w:val="Normal2"/>
        <w:widowControl w:val="0"/>
        <w:rPr>
          <w:b/>
          <w:sz w:val="20"/>
          <w:szCs w:val="20"/>
        </w:rPr>
      </w:pPr>
    </w:p>
    <w:p w:rsidR="00DC035A" w:rsidRDefault="00DC035A" w:rsidP="00DC035A">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DC035A" w:rsidRPr="00553AAD" w:rsidRDefault="00DC035A" w:rsidP="00DC035A">
      <w:pPr>
        <w:pStyle w:val="Normal1"/>
        <w:widowControl w:val="0"/>
        <w:jc w:val="both"/>
        <w:rPr>
          <w:sz w:val="20"/>
          <w:szCs w:val="20"/>
        </w:rPr>
      </w:pPr>
    </w:p>
    <w:p w:rsidR="00DC035A" w:rsidRDefault="00DC035A" w:rsidP="00DC035A">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DC035A" w:rsidRDefault="00DC035A" w:rsidP="00DC035A">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4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9"/>
        <w:gridCol w:w="3206"/>
        <w:gridCol w:w="2029"/>
        <w:gridCol w:w="1050"/>
        <w:gridCol w:w="1014"/>
        <w:gridCol w:w="2880"/>
      </w:tblGrid>
      <w:tr w:rsidR="00822EC4" w:rsidRPr="00BB7B35" w:rsidTr="00822EC4">
        <w:trPr>
          <w:trHeight w:val="592"/>
          <w:tblHeader/>
          <w:jc w:val="center"/>
        </w:trPr>
        <w:tc>
          <w:tcPr>
            <w:tcW w:w="3875" w:type="dxa"/>
            <w:gridSpan w:val="2"/>
            <w:tcBorders>
              <w:top w:val="single" w:sz="12" w:space="0" w:color="auto"/>
              <w:bottom w:val="double" w:sz="12" w:space="0" w:color="auto"/>
              <w:right w:val="single" w:sz="6" w:space="0" w:color="auto"/>
            </w:tcBorders>
            <w:shd w:val="clear" w:color="auto" w:fill="F79D53"/>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29" w:type="dxa"/>
            <w:tcBorders>
              <w:top w:val="single" w:sz="12" w:space="0" w:color="auto"/>
              <w:left w:val="single" w:sz="6" w:space="0" w:color="auto"/>
              <w:bottom w:val="double" w:sz="12" w:space="0" w:color="auto"/>
              <w:right w:val="single" w:sz="12" w:space="0" w:color="auto"/>
            </w:tcBorders>
            <w:shd w:val="clear" w:color="auto" w:fill="F79D53"/>
            <w:vAlign w:val="center"/>
          </w:tcPr>
          <w:p w:rsidR="006F7B53" w:rsidRPr="00BB7B35" w:rsidRDefault="00102A93" w:rsidP="00331961">
            <w:pPr>
              <w:pStyle w:val="Normal1"/>
              <w:widowControl w:val="0"/>
              <w:spacing w:line="240" w:lineRule="auto"/>
              <w:ind w:left="86" w:right="86"/>
              <w:jc w:val="center"/>
              <w:rPr>
                <w:color w:val="FFFFFF" w:themeColor="background1"/>
              </w:rPr>
            </w:pPr>
            <w:r>
              <w:rPr>
                <w:b/>
                <w:color w:val="FFFFFF" w:themeColor="background1"/>
              </w:rPr>
              <w:t>Go Math Correlation</w:t>
            </w:r>
          </w:p>
        </w:tc>
        <w:tc>
          <w:tcPr>
            <w:tcW w:w="2064" w:type="dxa"/>
            <w:gridSpan w:val="2"/>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80" w:type="dxa"/>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9A36E7" w:rsidRPr="00BB7B35" w:rsidTr="005670BE">
        <w:trPr>
          <w:cantSplit/>
          <w:trHeight w:val="1051"/>
          <w:jc w:val="center"/>
        </w:trPr>
        <w:tc>
          <w:tcPr>
            <w:tcW w:w="669" w:type="dxa"/>
            <w:tcBorders>
              <w:top w:val="double" w:sz="12" w:space="0" w:color="auto"/>
              <w:right w:val="single" w:sz="12" w:space="0" w:color="auto"/>
            </w:tcBorders>
            <w:shd w:val="clear" w:color="auto" w:fill="FEF1E6"/>
            <w:tcMar>
              <w:top w:w="86" w:type="dxa"/>
              <w:left w:w="86" w:type="dxa"/>
              <w:bottom w:w="86" w:type="dxa"/>
              <w:right w:w="86" w:type="dxa"/>
            </w:tcMar>
            <w:textDirection w:val="btLr"/>
            <w:vAlign w:val="center"/>
          </w:tcPr>
          <w:p w:rsidR="009A36E7" w:rsidRPr="003919E0" w:rsidRDefault="009A36E7" w:rsidP="009A36E7">
            <w:pPr>
              <w:pStyle w:val="Normal1"/>
              <w:widowControl w:val="0"/>
              <w:ind w:left="86" w:right="86"/>
              <w:jc w:val="center"/>
              <w:rPr>
                <w:b/>
                <w:sz w:val="18"/>
                <w:szCs w:val="18"/>
              </w:rPr>
            </w:pPr>
            <w:r w:rsidRPr="003919E0">
              <w:rPr>
                <w:b/>
                <w:sz w:val="18"/>
                <w:szCs w:val="18"/>
              </w:rPr>
              <w:t>Required</w:t>
            </w:r>
          </w:p>
          <w:p w:rsidR="009A36E7" w:rsidRPr="003919E0" w:rsidRDefault="009A36E7" w:rsidP="009A36E7">
            <w:pPr>
              <w:pStyle w:val="Normal1"/>
              <w:widowControl w:val="0"/>
              <w:ind w:left="86" w:right="86"/>
              <w:jc w:val="center"/>
              <w:rPr>
                <w:sz w:val="18"/>
                <w:szCs w:val="18"/>
              </w:rPr>
            </w:pPr>
            <w:r w:rsidRPr="003919E0">
              <w:rPr>
                <w:b/>
                <w:sz w:val="18"/>
                <w:szCs w:val="18"/>
              </w:rPr>
              <w:t>Fluencies</w:t>
            </w:r>
          </w:p>
        </w:tc>
        <w:tc>
          <w:tcPr>
            <w:tcW w:w="3206" w:type="dxa"/>
            <w:tcBorders>
              <w:top w:val="double" w:sz="12" w:space="0" w:color="auto"/>
              <w:right w:val="single" w:sz="6" w:space="0" w:color="auto"/>
            </w:tcBorders>
            <w:shd w:val="clear" w:color="auto" w:fill="FEF1E6"/>
            <w:tcMar>
              <w:top w:w="86" w:type="dxa"/>
              <w:left w:w="86" w:type="dxa"/>
              <w:bottom w:w="86" w:type="dxa"/>
              <w:right w:w="86" w:type="dxa"/>
            </w:tcMar>
          </w:tcPr>
          <w:p w:rsidR="009A36E7" w:rsidRPr="003919E0" w:rsidRDefault="009A36E7" w:rsidP="009A36E7">
            <w:pPr>
              <w:pStyle w:val="Normal1"/>
              <w:widowControl w:val="0"/>
              <w:ind w:left="86" w:right="86"/>
              <w:rPr>
                <w:color w:val="auto"/>
                <w:sz w:val="18"/>
                <w:szCs w:val="18"/>
              </w:rPr>
            </w:pPr>
            <w:r w:rsidRPr="003919E0">
              <w:rPr>
                <w:color w:val="auto"/>
                <w:sz w:val="18"/>
                <w:szCs w:val="18"/>
              </w:rPr>
              <w:t>Add and subtract within 5.</w:t>
            </w:r>
          </w:p>
          <w:p w:rsidR="009A36E7" w:rsidRPr="003919E0" w:rsidRDefault="009A36E7" w:rsidP="009A36E7">
            <w:pPr>
              <w:pStyle w:val="Normal1"/>
              <w:widowControl w:val="0"/>
              <w:ind w:left="86" w:right="86"/>
              <w:rPr>
                <w:sz w:val="18"/>
                <w:szCs w:val="18"/>
              </w:rPr>
            </w:pPr>
            <w:r w:rsidRPr="003919E0">
              <w:rPr>
                <w:color w:val="660066"/>
                <w:sz w:val="18"/>
                <w:szCs w:val="18"/>
              </w:rPr>
              <w:t>(</w:t>
            </w:r>
            <w:hyperlink r:id="rId8" w:history="1">
              <w:r w:rsidRPr="003919E0">
                <w:rPr>
                  <w:rStyle w:val="Hyperlink"/>
                  <w:color w:val="660066"/>
                  <w:sz w:val="18"/>
                  <w:szCs w:val="18"/>
                </w:rPr>
                <w:t>NAD K.OAT.2, 4</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9" w:history="1">
              <w:r w:rsidRPr="003919E0">
                <w:rPr>
                  <w:rStyle w:val="Hyperlink"/>
                  <w:color w:val="008000"/>
                  <w:sz w:val="18"/>
                  <w:szCs w:val="18"/>
                </w:rPr>
                <w:t>CCSS K.OA.5</w:t>
              </w:r>
            </w:hyperlink>
            <w:r w:rsidRPr="003919E0">
              <w:rPr>
                <w:color w:val="008000"/>
                <w:sz w:val="18"/>
                <w:szCs w:val="18"/>
              </w:rPr>
              <w:t>)</w:t>
            </w:r>
          </w:p>
        </w:tc>
        <w:tc>
          <w:tcPr>
            <w:tcW w:w="2029" w:type="dxa"/>
            <w:tcBorders>
              <w:top w:val="double" w:sz="12" w:space="0" w:color="auto"/>
              <w:left w:val="single" w:sz="6" w:space="0" w:color="auto"/>
              <w:right w:val="single" w:sz="12" w:space="0" w:color="auto"/>
            </w:tcBorders>
            <w:shd w:val="clear" w:color="auto" w:fill="FEF1E6"/>
          </w:tcPr>
          <w:p w:rsidR="009A36E7" w:rsidRPr="003919E0" w:rsidRDefault="009A36E7" w:rsidP="009A36E7">
            <w:pPr>
              <w:pStyle w:val="Normal1"/>
              <w:widowControl w:val="0"/>
              <w:ind w:left="86" w:right="86"/>
              <w:rPr>
                <w:sz w:val="18"/>
                <w:szCs w:val="18"/>
              </w:rPr>
            </w:pPr>
          </w:p>
        </w:tc>
        <w:tc>
          <w:tcPr>
            <w:tcW w:w="1050" w:type="dxa"/>
            <w:tcBorders>
              <w:top w:val="double" w:sz="12" w:space="0" w:color="auto"/>
              <w:left w:val="single" w:sz="12" w:space="0" w:color="auto"/>
              <w:right w:val="single" w:sz="6" w:space="0" w:color="auto"/>
            </w:tcBorders>
            <w:shd w:val="clear" w:color="auto" w:fill="FEF1E6"/>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4" w:type="dxa"/>
            <w:tcBorders>
              <w:top w:val="double" w:sz="12" w:space="0" w:color="auto"/>
              <w:left w:val="single" w:sz="6" w:space="0" w:color="auto"/>
              <w:right w:val="single" w:sz="12" w:space="0" w:color="auto"/>
            </w:tcBorders>
            <w:shd w:val="clear" w:color="auto" w:fill="FEF1E6"/>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80" w:type="dxa"/>
            <w:tcBorders>
              <w:top w:val="double" w:sz="12" w:space="0" w:color="auto"/>
              <w:left w:val="single" w:sz="12" w:space="0" w:color="auto"/>
              <w:right w:val="single" w:sz="12" w:space="0" w:color="auto"/>
            </w:tcBorders>
            <w:shd w:val="clear" w:color="auto" w:fill="FEF1E6"/>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24465C" w:rsidRPr="00BB7B35" w:rsidTr="0084356E">
        <w:trPr>
          <w:jc w:val="center"/>
        </w:trPr>
        <w:tc>
          <w:tcPr>
            <w:tcW w:w="10848" w:type="dxa"/>
            <w:gridSpan w:val="6"/>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F256A" w:rsidP="00331961">
            <w:pPr>
              <w:pStyle w:val="Normal1"/>
              <w:widowControl w:val="0"/>
              <w:spacing w:line="240" w:lineRule="auto"/>
              <w:ind w:left="86" w:right="86"/>
              <w:rPr>
                <w:b/>
                <w:sz w:val="20"/>
                <w:szCs w:val="20"/>
              </w:rPr>
            </w:pPr>
            <w:r w:rsidRPr="00BB7B35">
              <w:rPr>
                <w:b/>
                <w:sz w:val="20"/>
                <w:szCs w:val="20"/>
              </w:rPr>
              <w:t>NUMBERS AND OPERATIONS (NAD) / COUNTING AND CARDINALITY (CCSS)</w:t>
            </w:r>
          </w:p>
        </w:tc>
      </w:tr>
      <w:tr w:rsidR="009A36E7" w:rsidRPr="00BB7B35" w:rsidTr="0084356E">
        <w:trPr>
          <w:jc w:val="center"/>
        </w:trPr>
        <w:tc>
          <w:tcPr>
            <w:tcW w:w="3875"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auto"/>
                <w:sz w:val="18"/>
                <w:szCs w:val="18"/>
              </w:rPr>
            </w:pPr>
            <w:r w:rsidRPr="003919E0">
              <w:rPr>
                <w:color w:val="auto"/>
                <w:sz w:val="18"/>
                <w:szCs w:val="18"/>
              </w:rPr>
              <w:t>Know number names and the count sequence.</w:t>
            </w:r>
          </w:p>
          <w:p w:rsidR="009A36E7" w:rsidRPr="003919E0" w:rsidRDefault="009A36E7" w:rsidP="009A36E7">
            <w:pPr>
              <w:pStyle w:val="Normal1"/>
              <w:widowControl w:val="0"/>
              <w:ind w:left="86" w:right="86"/>
              <w:rPr>
                <w:color w:val="auto"/>
                <w:sz w:val="18"/>
                <w:szCs w:val="18"/>
              </w:rPr>
            </w:pPr>
            <w:r w:rsidRPr="003919E0">
              <w:rPr>
                <w:color w:val="660066"/>
                <w:sz w:val="18"/>
                <w:szCs w:val="18"/>
              </w:rPr>
              <w:t>(</w:t>
            </w:r>
            <w:hyperlink r:id="rId10" w:history="1">
              <w:r w:rsidRPr="003919E0">
                <w:rPr>
                  <w:rStyle w:val="Hyperlink"/>
                  <w:color w:val="660066"/>
                  <w:sz w:val="18"/>
                  <w:szCs w:val="18"/>
                </w:rPr>
                <w:t>NAD K.NO.1-2</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11" w:history="1">
              <w:r w:rsidRPr="003919E0">
                <w:rPr>
                  <w:rStyle w:val="Hyperlink"/>
                  <w:color w:val="008000"/>
                  <w:sz w:val="18"/>
                  <w:szCs w:val="18"/>
                </w:rPr>
                <w:t>CCSS K.CC.1-3</w:t>
              </w:r>
            </w:hyperlink>
            <w:r w:rsidRPr="003919E0">
              <w:rPr>
                <w:color w:val="008000"/>
                <w:sz w:val="18"/>
                <w:szCs w:val="18"/>
              </w:rPr>
              <w:t>)</w:t>
            </w:r>
          </w:p>
        </w:tc>
        <w:tc>
          <w:tcPr>
            <w:tcW w:w="202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sz w:val="18"/>
                <w:szCs w:val="18"/>
              </w:rPr>
            </w:pPr>
          </w:p>
        </w:tc>
        <w:tc>
          <w:tcPr>
            <w:tcW w:w="1050" w:type="dxa"/>
            <w:tcBorders>
              <w:top w:val="single" w:sz="12" w:space="0" w:color="auto"/>
              <w:left w:val="single" w:sz="12" w:space="0" w:color="auto"/>
              <w:bottom w:val="single" w:sz="6"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6"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A36E7" w:rsidRPr="00BB7B35" w:rsidTr="0084356E">
        <w:trPr>
          <w:jc w:val="center"/>
        </w:trPr>
        <w:tc>
          <w:tcPr>
            <w:tcW w:w="3875"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9A36E7" w:rsidRPr="003919E0" w:rsidRDefault="009A36E7" w:rsidP="009A36E7">
            <w:pPr>
              <w:pStyle w:val="Normal1"/>
              <w:widowControl w:val="0"/>
              <w:ind w:left="86" w:right="86"/>
              <w:rPr>
                <w:color w:val="auto"/>
                <w:sz w:val="18"/>
                <w:szCs w:val="18"/>
              </w:rPr>
            </w:pPr>
            <w:r w:rsidRPr="003919E0">
              <w:rPr>
                <w:color w:val="auto"/>
                <w:sz w:val="18"/>
                <w:szCs w:val="18"/>
              </w:rPr>
              <w:t>Count to tell the number of objects.</w:t>
            </w:r>
          </w:p>
          <w:p w:rsidR="009A36E7" w:rsidRPr="003919E0" w:rsidRDefault="009A36E7" w:rsidP="009A36E7">
            <w:pPr>
              <w:pStyle w:val="Normal1"/>
              <w:widowControl w:val="0"/>
              <w:ind w:left="86" w:right="86"/>
              <w:rPr>
                <w:color w:val="auto"/>
                <w:sz w:val="18"/>
                <w:szCs w:val="18"/>
              </w:rPr>
            </w:pPr>
            <w:r w:rsidRPr="003919E0">
              <w:rPr>
                <w:color w:val="660066"/>
                <w:sz w:val="18"/>
                <w:szCs w:val="18"/>
              </w:rPr>
              <w:t>(</w:t>
            </w:r>
            <w:hyperlink r:id="rId12" w:history="1">
              <w:r w:rsidRPr="003919E0">
                <w:rPr>
                  <w:rStyle w:val="Hyperlink"/>
                  <w:color w:val="660066"/>
                  <w:sz w:val="18"/>
                  <w:szCs w:val="18"/>
                </w:rPr>
                <w:t>NAD K.NO.3</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13" w:history="1">
              <w:r w:rsidRPr="003919E0">
                <w:rPr>
                  <w:rStyle w:val="Hyperlink"/>
                  <w:color w:val="008000"/>
                  <w:sz w:val="18"/>
                  <w:szCs w:val="18"/>
                </w:rPr>
                <w:t>CCSS K.CC.4-5</w:t>
              </w:r>
            </w:hyperlink>
            <w:r w:rsidRPr="003919E0">
              <w:rPr>
                <w:color w:val="008000"/>
                <w:sz w:val="18"/>
                <w:szCs w:val="18"/>
              </w:rPr>
              <w:t>)</w:t>
            </w:r>
          </w:p>
        </w:tc>
        <w:tc>
          <w:tcPr>
            <w:tcW w:w="202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sz w:val="18"/>
                <w:szCs w:val="18"/>
              </w:rPr>
            </w:pPr>
          </w:p>
        </w:tc>
        <w:tc>
          <w:tcPr>
            <w:tcW w:w="1050" w:type="dxa"/>
            <w:tcBorders>
              <w:top w:val="single" w:sz="6" w:space="0" w:color="auto"/>
              <w:left w:val="single" w:sz="12" w:space="0" w:color="auto"/>
              <w:bottom w:val="single" w:sz="6"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6" w:space="0" w:color="auto"/>
              <w:left w:val="single" w:sz="6" w:space="0" w:color="auto"/>
              <w:bottom w:val="single" w:sz="6"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6"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A36E7" w:rsidRPr="00BB7B35" w:rsidTr="0084356E">
        <w:trPr>
          <w:jc w:val="center"/>
        </w:trPr>
        <w:tc>
          <w:tcPr>
            <w:tcW w:w="3875"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auto"/>
                <w:sz w:val="18"/>
                <w:szCs w:val="18"/>
              </w:rPr>
            </w:pPr>
            <w:r w:rsidRPr="003919E0">
              <w:rPr>
                <w:color w:val="auto"/>
                <w:sz w:val="18"/>
                <w:szCs w:val="18"/>
              </w:rPr>
              <w:t>Compare numbers.</w:t>
            </w:r>
          </w:p>
          <w:p w:rsidR="009A36E7" w:rsidRPr="003919E0" w:rsidRDefault="009A36E7" w:rsidP="009A36E7">
            <w:pPr>
              <w:pStyle w:val="Normal1"/>
              <w:widowControl w:val="0"/>
              <w:ind w:left="86" w:right="86"/>
              <w:rPr>
                <w:color w:val="auto"/>
                <w:sz w:val="18"/>
                <w:szCs w:val="18"/>
              </w:rPr>
            </w:pPr>
            <w:r w:rsidRPr="003919E0">
              <w:rPr>
                <w:color w:val="660066"/>
                <w:sz w:val="18"/>
                <w:szCs w:val="18"/>
              </w:rPr>
              <w:t>(</w:t>
            </w:r>
            <w:hyperlink r:id="rId14" w:history="1">
              <w:r w:rsidRPr="003919E0">
                <w:rPr>
                  <w:rStyle w:val="Hyperlink"/>
                  <w:color w:val="660066"/>
                  <w:sz w:val="18"/>
                  <w:szCs w:val="18"/>
                </w:rPr>
                <w:t>NAD K.NO.4</w:t>
              </w:r>
            </w:hyperlink>
            <w:r w:rsidRPr="003919E0">
              <w:rPr>
                <w:color w:val="660066"/>
                <w:sz w:val="18"/>
                <w:szCs w:val="18"/>
              </w:rPr>
              <w:t xml:space="preserve">) </w:t>
            </w:r>
            <w:r w:rsidRPr="003919E0">
              <w:rPr>
                <w:color w:val="008000"/>
                <w:sz w:val="18"/>
                <w:szCs w:val="18"/>
              </w:rPr>
              <w:t>(</w:t>
            </w:r>
            <w:hyperlink r:id="rId15" w:history="1">
              <w:r w:rsidRPr="003919E0">
                <w:rPr>
                  <w:rStyle w:val="Hyperlink"/>
                  <w:color w:val="008000"/>
                  <w:sz w:val="18"/>
                  <w:szCs w:val="18"/>
                </w:rPr>
                <w:t>CCSS K.CC.6-7</w:t>
              </w:r>
            </w:hyperlink>
            <w:r w:rsidRPr="003919E0">
              <w:rPr>
                <w:color w:val="008000"/>
                <w:sz w:val="18"/>
                <w:szCs w:val="18"/>
              </w:rPr>
              <w:t>)</w:t>
            </w:r>
          </w:p>
        </w:tc>
        <w:tc>
          <w:tcPr>
            <w:tcW w:w="202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sz w:val="18"/>
                <w:szCs w:val="18"/>
              </w:rPr>
            </w:pPr>
          </w:p>
        </w:tc>
        <w:tc>
          <w:tcPr>
            <w:tcW w:w="1050" w:type="dxa"/>
            <w:tcBorders>
              <w:top w:val="single" w:sz="6" w:space="0" w:color="auto"/>
              <w:left w:val="single" w:sz="12" w:space="0" w:color="auto"/>
              <w:bottom w:val="single" w:sz="12"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6" w:space="0" w:color="auto"/>
              <w:left w:val="single" w:sz="6" w:space="0" w:color="auto"/>
              <w:bottom w:val="single" w:sz="12"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12"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822EC4">
        <w:trPr>
          <w:jc w:val="center"/>
        </w:trPr>
        <w:tc>
          <w:tcPr>
            <w:tcW w:w="1084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A15B15" w:rsidRPr="00BB7B35" w:rsidRDefault="003F256A" w:rsidP="00331961">
            <w:pPr>
              <w:pStyle w:val="Normal1"/>
              <w:widowControl w:val="0"/>
              <w:spacing w:line="240" w:lineRule="auto"/>
              <w:ind w:left="86" w:right="86"/>
              <w:rPr>
                <w:color w:val="0000FF"/>
                <w:sz w:val="20"/>
                <w:szCs w:val="20"/>
              </w:rPr>
            </w:pPr>
            <w:r w:rsidRPr="00BB7B35">
              <w:rPr>
                <w:b/>
                <w:color w:val="auto"/>
                <w:sz w:val="20"/>
                <w:szCs w:val="20"/>
              </w:rPr>
              <w:t>NUMBERS AND OPERATIONS (NAD) / NUMBER AND OPERATIONS IN BASE TEN (CCSS)</w:t>
            </w:r>
          </w:p>
        </w:tc>
      </w:tr>
      <w:tr w:rsidR="009A36E7" w:rsidRPr="00BB7B35" w:rsidTr="005670BE">
        <w:trPr>
          <w:jc w:val="center"/>
        </w:trPr>
        <w:tc>
          <w:tcPr>
            <w:tcW w:w="3875"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auto"/>
                <w:sz w:val="18"/>
                <w:szCs w:val="18"/>
              </w:rPr>
            </w:pPr>
            <w:r w:rsidRPr="003919E0">
              <w:rPr>
                <w:color w:val="auto"/>
                <w:sz w:val="18"/>
                <w:szCs w:val="18"/>
              </w:rPr>
              <w:t>Work with numbers 11-19 to gain foundations for place value.</w:t>
            </w:r>
          </w:p>
          <w:p w:rsidR="009A36E7" w:rsidRPr="003919E0" w:rsidRDefault="009A36E7" w:rsidP="009A36E7">
            <w:pPr>
              <w:pStyle w:val="Normal1"/>
              <w:widowControl w:val="0"/>
              <w:ind w:left="86" w:right="86"/>
              <w:rPr>
                <w:sz w:val="18"/>
                <w:szCs w:val="18"/>
              </w:rPr>
            </w:pPr>
            <w:r w:rsidRPr="003919E0">
              <w:rPr>
                <w:color w:val="660066"/>
                <w:sz w:val="18"/>
                <w:szCs w:val="18"/>
              </w:rPr>
              <w:t>(</w:t>
            </w:r>
            <w:hyperlink r:id="rId16" w:history="1">
              <w:r w:rsidRPr="003919E0">
                <w:rPr>
                  <w:rStyle w:val="Hyperlink"/>
                  <w:color w:val="660066"/>
                  <w:sz w:val="18"/>
                  <w:szCs w:val="18"/>
                </w:rPr>
                <w:t>NAD K.NO.5</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17" w:history="1">
              <w:r w:rsidRPr="003919E0">
                <w:rPr>
                  <w:rStyle w:val="Hyperlink"/>
                  <w:color w:val="008000"/>
                  <w:sz w:val="18"/>
                  <w:szCs w:val="18"/>
                </w:rPr>
                <w:t>CCSS K.NBT.1</w:t>
              </w:r>
            </w:hyperlink>
            <w:r w:rsidRPr="003919E0">
              <w:rPr>
                <w:color w:val="008000"/>
                <w:sz w:val="18"/>
                <w:szCs w:val="18"/>
              </w:rPr>
              <w:t>)</w:t>
            </w:r>
          </w:p>
        </w:tc>
        <w:tc>
          <w:tcPr>
            <w:tcW w:w="2029" w:type="dxa"/>
            <w:tcBorders>
              <w:top w:val="single" w:sz="12" w:space="0" w:color="auto"/>
              <w:left w:val="single" w:sz="6" w:space="0" w:color="auto"/>
              <w:bottom w:val="single" w:sz="12" w:space="0" w:color="auto"/>
              <w:right w:val="single" w:sz="12" w:space="0" w:color="auto"/>
            </w:tcBorders>
            <w:shd w:val="clear" w:color="auto" w:fill="auto"/>
          </w:tcPr>
          <w:p w:rsidR="009A36E7" w:rsidRPr="003919E0" w:rsidRDefault="009A36E7" w:rsidP="009A36E7">
            <w:pPr>
              <w:pStyle w:val="Normal1"/>
              <w:widowControl w:val="0"/>
              <w:ind w:left="86" w:right="86"/>
              <w:rPr>
                <w:sz w:val="18"/>
                <w:szCs w:val="18"/>
              </w:rPr>
            </w:pPr>
          </w:p>
        </w:tc>
        <w:tc>
          <w:tcPr>
            <w:tcW w:w="1050" w:type="dxa"/>
            <w:tcBorders>
              <w:top w:val="single" w:sz="12" w:space="0" w:color="auto"/>
              <w:left w:val="single" w:sz="12" w:space="0" w:color="auto"/>
              <w:bottom w:val="single" w:sz="12"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12"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12"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22EC4">
        <w:trPr>
          <w:jc w:val="center"/>
        </w:trPr>
        <w:tc>
          <w:tcPr>
            <w:tcW w:w="1084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F256A" w:rsidP="00331961">
            <w:pPr>
              <w:pStyle w:val="Normal1"/>
              <w:widowControl w:val="0"/>
              <w:spacing w:line="240" w:lineRule="auto"/>
              <w:ind w:left="86" w:right="86"/>
              <w:rPr>
                <w:b/>
                <w:color w:val="auto"/>
                <w:sz w:val="20"/>
                <w:szCs w:val="20"/>
              </w:rPr>
            </w:pPr>
            <w:r w:rsidRPr="00BB7B35">
              <w:rPr>
                <w:b/>
                <w:color w:val="auto"/>
                <w:sz w:val="20"/>
                <w:szCs w:val="20"/>
              </w:rPr>
              <w:t>OPERATIONS AND ALGEBRAIC THINKING (NAD / CCSS)</w:t>
            </w:r>
          </w:p>
        </w:tc>
      </w:tr>
      <w:tr w:rsidR="009A36E7" w:rsidRPr="00BB7B35" w:rsidTr="005670BE">
        <w:trPr>
          <w:jc w:val="center"/>
        </w:trPr>
        <w:tc>
          <w:tcPr>
            <w:tcW w:w="3875"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auto"/>
                <w:sz w:val="18"/>
                <w:szCs w:val="18"/>
              </w:rPr>
            </w:pPr>
            <w:r w:rsidRPr="003919E0">
              <w:rPr>
                <w:color w:val="auto"/>
                <w:sz w:val="18"/>
                <w:szCs w:val="18"/>
              </w:rPr>
              <w:t>Understand addition as putting together and adding to, and understand subtraction as taking apart and taking from.</w:t>
            </w:r>
          </w:p>
          <w:p w:rsidR="009A36E7" w:rsidRPr="003919E0" w:rsidRDefault="009A36E7" w:rsidP="009A36E7">
            <w:pPr>
              <w:pStyle w:val="Normal1"/>
              <w:widowControl w:val="0"/>
              <w:ind w:left="86" w:right="86"/>
              <w:rPr>
                <w:color w:val="auto"/>
                <w:sz w:val="18"/>
                <w:szCs w:val="18"/>
              </w:rPr>
            </w:pPr>
            <w:r w:rsidRPr="003919E0">
              <w:rPr>
                <w:color w:val="660066"/>
                <w:sz w:val="18"/>
                <w:szCs w:val="18"/>
              </w:rPr>
              <w:t>(</w:t>
            </w:r>
            <w:hyperlink r:id="rId18" w:history="1">
              <w:r w:rsidRPr="003919E0">
                <w:rPr>
                  <w:rStyle w:val="Hyperlink"/>
                  <w:color w:val="660066"/>
                  <w:sz w:val="18"/>
                  <w:szCs w:val="18"/>
                </w:rPr>
                <w:t>NAD K.OAT.1-4</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19" w:history="1">
              <w:r w:rsidRPr="003919E0">
                <w:rPr>
                  <w:rStyle w:val="Hyperlink"/>
                  <w:color w:val="008000"/>
                  <w:sz w:val="18"/>
                  <w:szCs w:val="18"/>
                </w:rPr>
                <w:t>CCSS K.OA.1-5</w:t>
              </w:r>
            </w:hyperlink>
            <w:r w:rsidRPr="003919E0">
              <w:rPr>
                <w:color w:val="008000"/>
                <w:sz w:val="18"/>
                <w:szCs w:val="18"/>
              </w:rPr>
              <w:t>)</w:t>
            </w:r>
          </w:p>
        </w:tc>
        <w:tc>
          <w:tcPr>
            <w:tcW w:w="202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color w:val="auto"/>
                <w:sz w:val="18"/>
                <w:szCs w:val="18"/>
              </w:rPr>
            </w:pPr>
          </w:p>
        </w:tc>
        <w:tc>
          <w:tcPr>
            <w:tcW w:w="1050" w:type="dxa"/>
            <w:tcBorders>
              <w:top w:val="single" w:sz="12" w:space="0" w:color="auto"/>
              <w:left w:val="single" w:sz="12" w:space="0" w:color="auto"/>
              <w:bottom w:val="single" w:sz="6"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6"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22EC4">
        <w:trPr>
          <w:jc w:val="center"/>
        </w:trPr>
        <w:tc>
          <w:tcPr>
            <w:tcW w:w="1084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F256A" w:rsidP="00331961">
            <w:pPr>
              <w:pStyle w:val="Normal1"/>
              <w:widowControl w:val="0"/>
              <w:spacing w:line="240" w:lineRule="auto"/>
              <w:ind w:left="86" w:right="86"/>
              <w:rPr>
                <w:b/>
                <w:color w:val="auto"/>
                <w:sz w:val="20"/>
                <w:szCs w:val="20"/>
              </w:rPr>
            </w:pPr>
            <w:r w:rsidRPr="00BB7B35">
              <w:rPr>
                <w:b/>
                <w:color w:val="auto"/>
                <w:sz w:val="20"/>
                <w:szCs w:val="20"/>
              </w:rPr>
              <w:t>MEASUREMENT (NAD) / MEASUREMENT AND DATA (CCSS)</w:t>
            </w:r>
          </w:p>
        </w:tc>
      </w:tr>
      <w:tr w:rsidR="009A36E7" w:rsidRPr="00BB7B35" w:rsidTr="005670BE">
        <w:trPr>
          <w:jc w:val="center"/>
        </w:trPr>
        <w:tc>
          <w:tcPr>
            <w:tcW w:w="3875"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9A36E7" w:rsidRPr="003919E0" w:rsidRDefault="009A36E7" w:rsidP="009A36E7">
            <w:pPr>
              <w:pStyle w:val="Normal1"/>
              <w:widowControl w:val="0"/>
              <w:ind w:left="86" w:right="86"/>
              <w:rPr>
                <w:sz w:val="18"/>
                <w:szCs w:val="18"/>
              </w:rPr>
            </w:pPr>
            <w:r w:rsidRPr="003919E0">
              <w:rPr>
                <w:color w:val="EA8B00"/>
                <w:sz w:val="18"/>
                <w:szCs w:val="18"/>
              </w:rPr>
              <w:t xml:space="preserve">Describe and compare measurable attributes. </w:t>
            </w:r>
            <w:r w:rsidRPr="003919E0">
              <w:rPr>
                <w:color w:val="660066"/>
                <w:sz w:val="18"/>
                <w:szCs w:val="18"/>
              </w:rPr>
              <w:t>(</w:t>
            </w:r>
            <w:hyperlink r:id="rId20" w:history="1">
              <w:r w:rsidRPr="003919E0">
                <w:rPr>
                  <w:rStyle w:val="Hyperlink"/>
                  <w:color w:val="660066"/>
                  <w:sz w:val="18"/>
                  <w:szCs w:val="18"/>
                </w:rPr>
                <w:t>NAD K.M.1</w:t>
              </w:r>
            </w:hyperlink>
            <w:r w:rsidRPr="003919E0">
              <w:rPr>
                <w:color w:val="660066"/>
                <w:sz w:val="18"/>
                <w:szCs w:val="18"/>
              </w:rPr>
              <w:t xml:space="preserve">) </w:t>
            </w:r>
            <w:r w:rsidRPr="003919E0">
              <w:rPr>
                <w:color w:val="008000"/>
                <w:sz w:val="18"/>
                <w:szCs w:val="18"/>
              </w:rPr>
              <w:t>(</w:t>
            </w:r>
            <w:hyperlink r:id="rId21" w:history="1">
              <w:r w:rsidRPr="003919E0">
                <w:rPr>
                  <w:rStyle w:val="Hyperlink"/>
                  <w:color w:val="008000"/>
                  <w:sz w:val="18"/>
                  <w:szCs w:val="18"/>
                </w:rPr>
                <w:t>CCSS K.MD.1-2</w:t>
              </w:r>
            </w:hyperlink>
            <w:r w:rsidRPr="003919E0">
              <w:rPr>
                <w:color w:val="008000"/>
                <w:sz w:val="18"/>
                <w:szCs w:val="18"/>
              </w:rPr>
              <w:t>)</w:t>
            </w:r>
          </w:p>
        </w:tc>
        <w:tc>
          <w:tcPr>
            <w:tcW w:w="202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sz w:val="18"/>
                <w:szCs w:val="18"/>
              </w:rPr>
            </w:pPr>
          </w:p>
        </w:tc>
        <w:tc>
          <w:tcPr>
            <w:tcW w:w="1050" w:type="dxa"/>
            <w:tcBorders>
              <w:top w:val="single" w:sz="12" w:space="0" w:color="auto"/>
              <w:left w:val="single" w:sz="12" w:space="0" w:color="auto"/>
              <w:bottom w:val="single" w:sz="6"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6"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84356E">
        <w:trPr>
          <w:jc w:val="center"/>
        </w:trPr>
        <w:tc>
          <w:tcPr>
            <w:tcW w:w="1084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F256A" w:rsidP="00331961">
            <w:pPr>
              <w:pStyle w:val="Normal1"/>
              <w:widowControl w:val="0"/>
              <w:spacing w:line="240" w:lineRule="auto"/>
              <w:ind w:left="86" w:right="86"/>
              <w:rPr>
                <w:b/>
                <w:color w:val="auto"/>
                <w:sz w:val="20"/>
                <w:szCs w:val="20"/>
              </w:rPr>
            </w:pPr>
            <w:r w:rsidRPr="00BB7B35">
              <w:rPr>
                <w:b/>
                <w:color w:val="auto"/>
                <w:sz w:val="20"/>
                <w:szCs w:val="20"/>
              </w:rPr>
              <w:t>GEOMETRY (NAD / CCSS)</w:t>
            </w:r>
          </w:p>
        </w:tc>
      </w:tr>
      <w:tr w:rsidR="009A36E7" w:rsidRPr="00BB7B35" w:rsidTr="0084356E">
        <w:trPr>
          <w:trHeight w:val="250"/>
          <w:jc w:val="center"/>
        </w:trPr>
        <w:tc>
          <w:tcPr>
            <w:tcW w:w="3875"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9A36E7" w:rsidRPr="003919E0" w:rsidRDefault="009A36E7" w:rsidP="009A36E7">
            <w:pPr>
              <w:pStyle w:val="Normal1"/>
              <w:widowControl w:val="0"/>
              <w:ind w:left="86" w:right="86"/>
              <w:rPr>
                <w:color w:val="auto"/>
                <w:sz w:val="18"/>
                <w:szCs w:val="18"/>
              </w:rPr>
            </w:pPr>
            <w:r w:rsidRPr="003919E0">
              <w:rPr>
                <w:color w:val="EA8B00"/>
                <w:sz w:val="18"/>
                <w:szCs w:val="18"/>
              </w:rPr>
              <w:t>Identify and describe shapes.</w:t>
            </w:r>
          </w:p>
          <w:p w:rsidR="009A36E7" w:rsidRPr="003919E0" w:rsidRDefault="009A36E7" w:rsidP="009A36E7">
            <w:pPr>
              <w:pStyle w:val="Normal1"/>
              <w:widowControl w:val="0"/>
              <w:ind w:left="86" w:right="86"/>
              <w:rPr>
                <w:color w:val="auto"/>
                <w:sz w:val="18"/>
                <w:szCs w:val="18"/>
              </w:rPr>
            </w:pPr>
            <w:r w:rsidRPr="003919E0">
              <w:rPr>
                <w:color w:val="660066"/>
                <w:sz w:val="18"/>
                <w:szCs w:val="18"/>
              </w:rPr>
              <w:t>(</w:t>
            </w:r>
            <w:hyperlink r:id="rId22" w:history="1">
              <w:r w:rsidRPr="003919E0">
                <w:rPr>
                  <w:rStyle w:val="Hyperlink"/>
                  <w:color w:val="660066"/>
                  <w:sz w:val="18"/>
                  <w:szCs w:val="18"/>
                </w:rPr>
                <w:t>NAD K.GEO.1</w:t>
              </w:r>
            </w:hyperlink>
            <w:r w:rsidRPr="003919E0">
              <w:rPr>
                <w:color w:val="660066"/>
                <w:sz w:val="18"/>
                <w:szCs w:val="18"/>
              </w:rPr>
              <w:t xml:space="preserve">) </w:t>
            </w:r>
            <w:r w:rsidRPr="003919E0">
              <w:rPr>
                <w:color w:val="008000"/>
                <w:sz w:val="18"/>
                <w:szCs w:val="18"/>
              </w:rPr>
              <w:t>(</w:t>
            </w:r>
            <w:hyperlink r:id="rId23" w:history="1">
              <w:r w:rsidRPr="003919E0">
                <w:rPr>
                  <w:rStyle w:val="Hyperlink"/>
                  <w:color w:val="008000"/>
                  <w:sz w:val="18"/>
                  <w:szCs w:val="18"/>
                </w:rPr>
                <w:t>CCSS K.G.1-3</w:t>
              </w:r>
            </w:hyperlink>
            <w:r w:rsidRPr="003919E0">
              <w:rPr>
                <w:color w:val="008000"/>
                <w:sz w:val="18"/>
                <w:szCs w:val="18"/>
              </w:rPr>
              <w:t>)</w:t>
            </w:r>
            <w:r w:rsidRPr="003919E0">
              <w:rPr>
                <w:color w:val="auto"/>
                <w:sz w:val="18"/>
                <w:szCs w:val="18"/>
              </w:rPr>
              <w:t xml:space="preserve"> </w:t>
            </w:r>
          </w:p>
        </w:tc>
        <w:tc>
          <w:tcPr>
            <w:tcW w:w="202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color w:val="auto"/>
                <w:sz w:val="18"/>
                <w:szCs w:val="18"/>
              </w:rPr>
            </w:pPr>
          </w:p>
        </w:tc>
        <w:tc>
          <w:tcPr>
            <w:tcW w:w="1050" w:type="dxa"/>
            <w:tcBorders>
              <w:top w:val="single" w:sz="12" w:space="0" w:color="auto"/>
              <w:left w:val="single" w:sz="12" w:space="0" w:color="auto"/>
              <w:bottom w:val="single" w:sz="6"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6"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A36E7" w:rsidRPr="00BB7B35" w:rsidTr="0084356E">
        <w:trPr>
          <w:trHeight w:val="250"/>
          <w:jc w:val="center"/>
        </w:trPr>
        <w:tc>
          <w:tcPr>
            <w:tcW w:w="3875"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auto"/>
                <w:sz w:val="18"/>
                <w:szCs w:val="18"/>
              </w:rPr>
            </w:pPr>
            <w:r w:rsidRPr="003919E0">
              <w:rPr>
                <w:color w:val="EA8B00"/>
                <w:sz w:val="18"/>
                <w:szCs w:val="18"/>
              </w:rPr>
              <w:t xml:space="preserve">Analyze, compare, create, and compose shapes. </w:t>
            </w:r>
            <w:r w:rsidRPr="003919E0">
              <w:rPr>
                <w:color w:val="660066"/>
                <w:sz w:val="18"/>
                <w:szCs w:val="18"/>
              </w:rPr>
              <w:t>(</w:t>
            </w:r>
            <w:hyperlink r:id="rId24" w:history="1">
              <w:r w:rsidRPr="003919E0">
                <w:rPr>
                  <w:rStyle w:val="Hyperlink"/>
                  <w:color w:val="660066"/>
                  <w:sz w:val="18"/>
                  <w:szCs w:val="18"/>
                </w:rPr>
                <w:t>NAD K.GEO.2</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25" w:history="1">
              <w:r w:rsidRPr="003919E0">
                <w:rPr>
                  <w:rStyle w:val="Hyperlink"/>
                  <w:color w:val="008000"/>
                  <w:sz w:val="18"/>
                  <w:szCs w:val="18"/>
                </w:rPr>
                <w:t>CCSS K.G.4-6</w:t>
              </w:r>
            </w:hyperlink>
            <w:r w:rsidRPr="003919E0">
              <w:rPr>
                <w:color w:val="008000"/>
                <w:sz w:val="18"/>
                <w:szCs w:val="18"/>
              </w:rPr>
              <w:t>)</w:t>
            </w:r>
          </w:p>
          <w:p w:rsidR="009A36E7" w:rsidRDefault="009A36E7" w:rsidP="009A36E7">
            <w:pPr>
              <w:pStyle w:val="Normal1"/>
              <w:widowControl w:val="0"/>
              <w:ind w:left="86" w:right="86"/>
              <w:rPr>
                <w:color w:val="auto"/>
                <w:sz w:val="18"/>
                <w:szCs w:val="18"/>
              </w:rPr>
            </w:pPr>
          </w:p>
          <w:p w:rsidR="009A36E7" w:rsidRDefault="009A36E7" w:rsidP="009A36E7">
            <w:pPr>
              <w:pStyle w:val="Normal1"/>
              <w:widowControl w:val="0"/>
              <w:ind w:left="86" w:right="86"/>
              <w:rPr>
                <w:color w:val="auto"/>
                <w:sz w:val="18"/>
                <w:szCs w:val="18"/>
              </w:rPr>
            </w:pPr>
          </w:p>
          <w:p w:rsidR="009A36E7" w:rsidRPr="003919E0" w:rsidRDefault="009A36E7" w:rsidP="009A36E7">
            <w:pPr>
              <w:pStyle w:val="Normal1"/>
              <w:widowControl w:val="0"/>
              <w:ind w:left="86" w:right="86"/>
              <w:rPr>
                <w:color w:val="auto"/>
                <w:sz w:val="18"/>
                <w:szCs w:val="18"/>
              </w:rPr>
            </w:pPr>
          </w:p>
        </w:tc>
        <w:tc>
          <w:tcPr>
            <w:tcW w:w="202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color w:val="auto"/>
                <w:sz w:val="18"/>
                <w:szCs w:val="18"/>
              </w:rPr>
            </w:pPr>
          </w:p>
        </w:tc>
        <w:tc>
          <w:tcPr>
            <w:tcW w:w="1050" w:type="dxa"/>
            <w:tcBorders>
              <w:top w:val="single" w:sz="6" w:space="0" w:color="auto"/>
              <w:left w:val="single" w:sz="12" w:space="0" w:color="auto"/>
              <w:bottom w:val="single" w:sz="12"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6" w:space="0" w:color="auto"/>
              <w:left w:val="single" w:sz="6" w:space="0" w:color="auto"/>
              <w:bottom w:val="single" w:sz="12"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12"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822EC4">
        <w:trPr>
          <w:trHeight w:val="250"/>
          <w:jc w:val="center"/>
        </w:trPr>
        <w:tc>
          <w:tcPr>
            <w:tcW w:w="1084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1E3BB9" w:rsidRPr="00BB7B35" w:rsidRDefault="003F256A" w:rsidP="00331961">
            <w:pPr>
              <w:pStyle w:val="Normal1"/>
              <w:widowControl w:val="0"/>
              <w:spacing w:line="240" w:lineRule="auto"/>
              <w:ind w:left="86" w:right="86"/>
              <w:rPr>
                <w:sz w:val="20"/>
                <w:szCs w:val="20"/>
              </w:rPr>
            </w:pPr>
            <w:r w:rsidRPr="00BB7B35">
              <w:rPr>
                <w:b/>
                <w:color w:val="auto"/>
                <w:sz w:val="20"/>
                <w:szCs w:val="20"/>
              </w:rPr>
              <w:lastRenderedPageBreak/>
              <w:t>DATA ANALYSIS, STATISTICS, AND PROBABILITY (NAD) / MEASUREMENT AND DATA (CCSS)</w:t>
            </w:r>
          </w:p>
        </w:tc>
      </w:tr>
      <w:tr w:rsidR="009A36E7" w:rsidRPr="00BB7B35" w:rsidTr="005670BE">
        <w:trPr>
          <w:trHeight w:val="250"/>
          <w:jc w:val="center"/>
        </w:trPr>
        <w:tc>
          <w:tcPr>
            <w:tcW w:w="3875"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9A36E7" w:rsidRDefault="009A36E7" w:rsidP="009A36E7">
            <w:pPr>
              <w:pStyle w:val="Normal1"/>
              <w:widowControl w:val="0"/>
              <w:ind w:left="86" w:right="86"/>
              <w:rPr>
                <w:color w:val="0000FF"/>
                <w:sz w:val="18"/>
                <w:szCs w:val="18"/>
              </w:rPr>
            </w:pPr>
            <w:r w:rsidRPr="003919E0">
              <w:rPr>
                <w:color w:val="0000FF"/>
                <w:sz w:val="18"/>
                <w:szCs w:val="18"/>
              </w:rPr>
              <w:t>Classify objects and count the number of objects in categories.</w:t>
            </w:r>
          </w:p>
          <w:p w:rsidR="009A36E7" w:rsidRPr="003919E0" w:rsidRDefault="009A36E7" w:rsidP="009A36E7">
            <w:pPr>
              <w:pStyle w:val="Normal1"/>
              <w:widowControl w:val="0"/>
              <w:ind w:left="86" w:right="86"/>
              <w:rPr>
                <w:color w:val="0000FF"/>
                <w:sz w:val="18"/>
                <w:szCs w:val="18"/>
              </w:rPr>
            </w:pPr>
            <w:r w:rsidRPr="003919E0">
              <w:rPr>
                <w:color w:val="660066"/>
                <w:sz w:val="18"/>
                <w:szCs w:val="18"/>
              </w:rPr>
              <w:t>(</w:t>
            </w:r>
            <w:hyperlink r:id="rId26" w:history="1">
              <w:r w:rsidRPr="003919E0">
                <w:rPr>
                  <w:rStyle w:val="Hyperlink"/>
                  <w:color w:val="660066"/>
                  <w:sz w:val="18"/>
                  <w:szCs w:val="18"/>
                </w:rPr>
                <w:t>NAD K.DSP.1</w:t>
              </w:r>
            </w:hyperlink>
            <w:r w:rsidRPr="003919E0">
              <w:rPr>
                <w:color w:val="660066"/>
                <w:sz w:val="18"/>
                <w:szCs w:val="18"/>
              </w:rPr>
              <w:t>)</w:t>
            </w:r>
            <w:r w:rsidRPr="003919E0">
              <w:rPr>
                <w:color w:val="auto"/>
                <w:sz w:val="18"/>
                <w:szCs w:val="18"/>
              </w:rPr>
              <w:t xml:space="preserve"> </w:t>
            </w:r>
            <w:r w:rsidRPr="003919E0">
              <w:rPr>
                <w:color w:val="008000"/>
                <w:sz w:val="18"/>
                <w:szCs w:val="18"/>
              </w:rPr>
              <w:t>(</w:t>
            </w:r>
            <w:hyperlink r:id="rId27" w:history="1">
              <w:r w:rsidRPr="003919E0">
                <w:rPr>
                  <w:rStyle w:val="Hyperlink"/>
                  <w:color w:val="008000"/>
                  <w:sz w:val="18"/>
                  <w:szCs w:val="18"/>
                </w:rPr>
                <w:t>CCSS K.MD.3</w:t>
              </w:r>
            </w:hyperlink>
            <w:r w:rsidRPr="003919E0">
              <w:rPr>
                <w:color w:val="008000"/>
                <w:sz w:val="18"/>
                <w:szCs w:val="18"/>
              </w:rPr>
              <w:t>)</w:t>
            </w:r>
          </w:p>
        </w:tc>
        <w:tc>
          <w:tcPr>
            <w:tcW w:w="2029"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9A36E7" w:rsidRPr="003919E0" w:rsidRDefault="009A36E7" w:rsidP="009A36E7">
            <w:pPr>
              <w:pStyle w:val="Normal1"/>
              <w:widowControl w:val="0"/>
              <w:ind w:left="86" w:right="86"/>
              <w:rPr>
                <w:color w:val="auto"/>
                <w:sz w:val="18"/>
                <w:szCs w:val="18"/>
              </w:rPr>
            </w:pPr>
          </w:p>
        </w:tc>
        <w:tc>
          <w:tcPr>
            <w:tcW w:w="1050" w:type="dxa"/>
            <w:tcBorders>
              <w:top w:val="single" w:sz="12" w:space="0" w:color="auto"/>
              <w:left w:val="single" w:sz="12" w:space="0" w:color="auto"/>
              <w:bottom w:val="single" w:sz="12" w:space="0" w:color="auto"/>
              <w:right w:val="single" w:sz="6"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4" w:type="dxa"/>
            <w:tcBorders>
              <w:top w:val="single" w:sz="12" w:space="0" w:color="auto"/>
              <w:left w:val="single" w:sz="6" w:space="0" w:color="auto"/>
              <w:bottom w:val="single" w:sz="12" w:space="0" w:color="auto"/>
              <w:right w:val="single" w:sz="12" w:space="0" w:color="auto"/>
            </w:tcBorders>
          </w:tcPr>
          <w:p w:rsidR="009A36E7" w:rsidRPr="00CD01E1" w:rsidRDefault="009A36E7" w:rsidP="009A36E7">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12" w:space="0" w:color="auto"/>
              <w:right w:val="single" w:sz="12" w:space="0" w:color="auto"/>
            </w:tcBorders>
          </w:tcPr>
          <w:p w:rsidR="009A36E7" w:rsidRPr="00CD01E1" w:rsidRDefault="009A36E7" w:rsidP="009A36E7">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28"/>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84356E" w:rsidP="00FF0298">
        <w:pPr>
          <w:pStyle w:val="Footer"/>
          <w:jc w:val="right"/>
        </w:pPr>
        <w:r>
          <w:rPr>
            <w:rFonts w:ascii="Arial" w:hAnsi="Arial" w:cs="Arial"/>
            <w:sz w:val="20"/>
            <w:szCs w:val="20"/>
          </w:rPr>
          <w:t xml:space="preserve">Math Standards:  Required Fluencies and Clusters, Grade </w:t>
        </w:r>
        <w:r w:rsidR="0051383C">
          <w:rPr>
            <w:rFonts w:ascii="Arial" w:hAnsi="Arial" w:cs="Arial"/>
            <w:sz w:val="20"/>
            <w:szCs w:val="20"/>
          </w:rPr>
          <w:t>K</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9A36E7">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ptXC3p/yt8tfr2TPTskfuwlWs3jcUdS30SKOVs2DWqMCQ75vw+f/Nb6e14Kb1JzXZh98qSttzK8lnPwko8PKKQ==" w:salt="yL2lc8pSQscT0uWQWLQ2m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2A93"/>
    <w:rsid w:val="00103018"/>
    <w:rsid w:val="00104E45"/>
    <w:rsid w:val="0010556B"/>
    <w:rsid w:val="001115E1"/>
    <w:rsid w:val="00115E87"/>
    <w:rsid w:val="00127012"/>
    <w:rsid w:val="001329A4"/>
    <w:rsid w:val="001413A6"/>
    <w:rsid w:val="0015390B"/>
    <w:rsid w:val="00163976"/>
    <w:rsid w:val="001700F5"/>
    <w:rsid w:val="0019391D"/>
    <w:rsid w:val="001A2677"/>
    <w:rsid w:val="001A5DC2"/>
    <w:rsid w:val="001A7A35"/>
    <w:rsid w:val="001B6BC8"/>
    <w:rsid w:val="001D284D"/>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4F4F"/>
    <w:rsid w:val="00357909"/>
    <w:rsid w:val="00357AF6"/>
    <w:rsid w:val="00360899"/>
    <w:rsid w:val="00363ECF"/>
    <w:rsid w:val="00364B69"/>
    <w:rsid w:val="00367780"/>
    <w:rsid w:val="00381E1B"/>
    <w:rsid w:val="00385C5A"/>
    <w:rsid w:val="003919E0"/>
    <w:rsid w:val="003C4537"/>
    <w:rsid w:val="003D07F0"/>
    <w:rsid w:val="003D7282"/>
    <w:rsid w:val="003E73DD"/>
    <w:rsid w:val="003F256A"/>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670BE"/>
    <w:rsid w:val="00580884"/>
    <w:rsid w:val="00584E6D"/>
    <w:rsid w:val="005950D9"/>
    <w:rsid w:val="005A2B2D"/>
    <w:rsid w:val="005A39AD"/>
    <w:rsid w:val="005A63A4"/>
    <w:rsid w:val="005B100B"/>
    <w:rsid w:val="005B281F"/>
    <w:rsid w:val="005C662C"/>
    <w:rsid w:val="005D701A"/>
    <w:rsid w:val="005E1D1D"/>
    <w:rsid w:val="005E7C7F"/>
    <w:rsid w:val="00607BBA"/>
    <w:rsid w:val="00616DAB"/>
    <w:rsid w:val="00626F3E"/>
    <w:rsid w:val="00630160"/>
    <w:rsid w:val="0064240F"/>
    <w:rsid w:val="00642DDE"/>
    <w:rsid w:val="006447CD"/>
    <w:rsid w:val="00645CFD"/>
    <w:rsid w:val="00667C7C"/>
    <w:rsid w:val="00672E4E"/>
    <w:rsid w:val="006741A2"/>
    <w:rsid w:val="00686FFF"/>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56CAB"/>
    <w:rsid w:val="007639CC"/>
    <w:rsid w:val="00766AF6"/>
    <w:rsid w:val="007704FA"/>
    <w:rsid w:val="0077159A"/>
    <w:rsid w:val="0077356A"/>
    <w:rsid w:val="00774C46"/>
    <w:rsid w:val="00784DF1"/>
    <w:rsid w:val="00797B59"/>
    <w:rsid w:val="007A59EE"/>
    <w:rsid w:val="007A68CD"/>
    <w:rsid w:val="007B1430"/>
    <w:rsid w:val="007B3EF6"/>
    <w:rsid w:val="007B3FB8"/>
    <w:rsid w:val="007C080C"/>
    <w:rsid w:val="007C4FCB"/>
    <w:rsid w:val="007C6018"/>
    <w:rsid w:val="007D2848"/>
    <w:rsid w:val="007D3E04"/>
    <w:rsid w:val="007F58DF"/>
    <w:rsid w:val="008042AB"/>
    <w:rsid w:val="00812233"/>
    <w:rsid w:val="00820C6F"/>
    <w:rsid w:val="00822EC4"/>
    <w:rsid w:val="0083406B"/>
    <w:rsid w:val="0084356E"/>
    <w:rsid w:val="008511CA"/>
    <w:rsid w:val="00885A4B"/>
    <w:rsid w:val="008C5A7E"/>
    <w:rsid w:val="008D09A5"/>
    <w:rsid w:val="008D3339"/>
    <w:rsid w:val="008D65C6"/>
    <w:rsid w:val="008F3BB3"/>
    <w:rsid w:val="008F49E4"/>
    <w:rsid w:val="008F5329"/>
    <w:rsid w:val="008F7F96"/>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A36E7"/>
    <w:rsid w:val="009A40AD"/>
    <w:rsid w:val="009B109F"/>
    <w:rsid w:val="009C0D56"/>
    <w:rsid w:val="009C1C3D"/>
    <w:rsid w:val="009C31E2"/>
    <w:rsid w:val="009C39B9"/>
    <w:rsid w:val="009C52EC"/>
    <w:rsid w:val="009D38CA"/>
    <w:rsid w:val="009D42B2"/>
    <w:rsid w:val="009E0267"/>
    <w:rsid w:val="009E7D6F"/>
    <w:rsid w:val="009F2EF1"/>
    <w:rsid w:val="00A04C7E"/>
    <w:rsid w:val="00A121F3"/>
    <w:rsid w:val="00A15B15"/>
    <w:rsid w:val="00A2171D"/>
    <w:rsid w:val="00A33DBC"/>
    <w:rsid w:val="00A501FF"/>
    <w:rsid w:val="00A504BD"/>
    <w:rsid w:val="00A5524B"/>
    <w:rsid w:val="00A57727"/>
    <w:rsid w:val="00A60D4E"/>
    <w:rsid w:val="00A7443D"/>
    <w:rsid w:val="00A8403B"/>
    <w:rsid w:val="00A9729F"/>
    <w:rsid w:val="00AA7AF1"/>
    <w:rsid w:val="00AB2003"/>
    <w:rsid w:val="00AB4249"/>
    <w:rsid w:val="00AB5228"/>
    <w:rsid w:val="00AB7C5D"/>
    <w:rsid w:val="00AC0042"/>
    <w:rsid w:val="00AC639B"/>
    <w:rsid w:val="00AD0524"/>
    <w:rsid w:val="00AD055A"/>
    <w:rsid w:val="00AD0EBA"/>
    <w:rsid w:val="00AD1E94"/>
    <w:rsid w:val="00AE5459"/>
    <w:rsid w:val="00B00082"/>
    <w:rsid w:val="00B00666"/>
    <w:rsid w:val="00B00C4A"/>
    <w:rsid w:val="00B061BB"/>
    <w:rsid w:val="00B16701"/>
    <w:rsid w:val="00B33CCA"/>
    <w:rsid w:val="00B400C7"/>
    <w:rsid w:val="00B40FB2"/>
    <w:rsid w:val="00B47554"/>
    <w:rsid w:val="00B520CD"/>
    <w:rsid w:val="00B65202"/>
    <w:rsid w:val="00B7124D"/>
    <w:rsid w:val="00B8308D"/>
    <w:rsid w:val="00B83A5F"/>
    <w:rsid w:val="00BB1379"/>
    <w:rsid w:val="00BB3A28"/>
    <w:rsid w:val="00BB7B35"/>
    <w:rsid w:val="00BC113D"/>
    <w:rsid w:val="00BD5C2B"/>
    <w:rsid w:val="00BF0D23"/>
    <w:rsid w:val="00BF16F8"/>
    <w:rsid w:val="00C11FA2"/>
    <w:rsid w:val="00C21380"/>
    <w:rsid w:val="00C25810"/>
    <w:rsid w:val="00C317C8"/>
    <w:rsid w:val="00C33CD5"/>
    <w:rsid w:val="00C43171"/>
    <w:rsid w:val="00C44880"/>
    <w:rsid w:val="00C501D4"/>
    <w:rsid w:val="00C53C65"/>
    <w:rsid w:val="00C57BD3"/>
    <w:rsid w:val="00C733C8"/>
    <w:rsid w:val="00C77FD4"/>
    <w:rsid w:val="00C8174F"/>
    <w:rsid w:val="00C8560A"/>
    <w:rsid w:val="00CC43A6"/>
    <w:rsid w:val="00CE4B66"/>
    <w:rsid w:val="00CF1A99"/>
    <w:rsid w:val="00D04313"/>
    <w:rsid w:val="00D11B59"/>
    <w:rsid w:val="00D223F6"/>
    <w:rsid w:val="00D2718C"/>
    <w:rsid w:val="00D41C07"/>
    <w:rsid w:val="00D424B5"/>
    <w:rsid w:val="00D4300B"/>
    <w:rsid w:val="00D451CE"/>
    <w:rsid w:val="00D55387"/>
    <w:rsid w:val="00D62A84"/>
    <w:rsid w:val="00D65091"/>
    <w:rsid w:val="00D658C8"/>
    <w:rsid w:val="00D67E30"/>
    <w:rsid w:val="00D82318"/>
    <w:rsid w:val="00DB6A56"/>
    <w:rsid w:val="00DB7F88"/>
    <w:rsid w:val="00DC035A"/>
    <w:rsid w:val="00DC0ED3"/>
    <w:rsid w:val="00DF5E89"/>
    <w:rsid w:val="00E01D83"/>
    <w:rsid w:val="00E11968"/>
    <w:rsid w:val="00E232B2"/>
    <w:rsid w:val="00E25008"/>
    <w:rsid w:val="00E26B39"/>
    <w:rsid w:val="00E30EC2"/>
    <w:rsid w:val="00E3407E"/>
    <w:rsid w:val="00E45F83"/>
    <w:rsid w:val="00E5328E"/>
    <w:rsid w:val="00E53E9A"/>
    <w:rsid w:val="00E5646D"/>
    <w:rsid w:val="00E5738D"/>
    <w:rsid w:val="00E658AB"/>
    <w:rsid w:val="00E81117"/>
    <w:rsid w:val="00E95FB3"/>
    <w:rsid w:val="00EB116F"/>
    <w:rsid w:val="00ED2F9B"/>
    <w:rsid w:val="00EE2778"/>
    <w:rsid w:val="00EF3796"/>
    <w:rsid w:val="00EF5461"/>
    <w:rsid w:val="00EF5C04"/>
    <w:rsid w:val="00F12F04"/>
    <w:rsid w:val="00F2426E"/>
    <w:rsid w:val="00F324A0"/>
    <w:rsid w:val="00F4097F"/>
    <w:rsid w:val="00F57D80"/>
    <w:rsid w:val="00F60579"/>
    <w:rsid w:val="00F628B6"/>
    <w:rsid w:val="00F6391A"/>
    <w:rsid w:val="00F64AFC"/>
    <w:rsid w:val="00F67FB7"/>
    <w:rsid w:val="00F7223E"/>
    <w:rsid w:val="00F72AD7"/>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0860E8-F35D-4A8B-9FBE-A715EBA4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Operations%20and%20Algebraic%20Thinking.pdf" TargetMode="External"/><Relationship Id="rId13" Type="http://schemas.openxmlformats.org/officeDocument/2006/relationships/hyperlink" Target="http://www.corestandards.org/Math/Content/K/CC/"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Data%20Analysis%20Statistics%20and%20Probability.pdf" TargetMode="External"/><Relationship Id="rId3" Type="http://schemas.openxmlformats.org/officeDocument/2006/relationships/styles" Target="styles.xml"/><Relationship Id="rId21" Type="http://schemas.openxmlformats.org/officeDocument/2006/relationships/hyperlink" Target="http://www.corestandards.org/Math/Content/K/MD/" TargetMode="Externa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K/NBT/" TargetMode="External"/><Relationship Id="rId25" Type="http://schemas.openxmlformats.org/officeDocument/2006/relationships/hyperlink" Target="http://www.corestandards.org/Math/Content/K/G/" TargetMode="Externa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Measur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K/CC/" TargetMode="External"/><Relationship Id="rId24" Type="http://schemas.openxmlformats.org/officeDocument/2006/relationships/hyperlink" Target="http://adventisteducation.org/downloads/pdf/Elementary%20Math%20Standards%20Geometry.pdf" TargetMode="External"/><Relationship Id="rId5" Type="http://schemas.openxmlformats.org/officeDocument/2006/relationships/webSettings" Target="webSettings.xml"/><Relationship Id="rId15" Type="http://schemas.openxmlformats.org/officeDocument/2006/relationships/hyperlink" Target="http://www.corestandards.org/Math/Content/K/CC/" TargetMode="External"/><Relationship Id="rId23" Type="http://schemas.openxmlformats.org/officeDocument/2006/relationships/hyperlink" Target="http://www.corestandards.org/Math/Content/K/G/" TargetMode="External"/><Relationship Id="rId28" Type="http://schemas.openxmlformats.org/officeDocument/2006/relationships/footer" Target="footer1.xm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K/OA/" TargetMode="External"/><Relationship Id="rId4" Type="http://schemas.openxmlformats.org/officeDocument/2006/relationships/settings" Target="settings.xml"/><Relationship Id="rId9" Type="http://schemas.openxmlformats.org/officeDocument/2006/relationships/hyperlink" Target="http://www.corestandards.org/Math/Content/K/OA/"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Geometry.pdf" TargetMode="External"/><Relationship Id="rId27" Type="http://schemas.openxmlformats.org/officeDocument/2006/relationships/hyperlink" Target="http://www.corestandards.org/Math/Content/K/M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F351F-36BD-45C9-916E-329F2EAC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2014-10-05T22:49:00Z</cp:lastPrinted>
  <dcterms:created xsi:type="dcterms:W3CDTF">2015-05-26T03:57:00Z</dcterms:created>
  <dcterms:modified xsi:type="dcterms:W3CDTF">2015-05-26T03:57:00Z</dcterms:modified>
</cp:coreProperties>
</file>